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C53" w:rsidRPr="004C2F3B" w:rsidRDefault="00AA3C53" w:rsidP="00AA3C53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AA3C53" w:rsidRPr="004C2F3B" w:rsidRDefault="00AA3C53" w:rsidP="00AA3C53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KPV-3-2021/II/NS-105814-MZ</w:t>
      </w:r>
    </w:p>
    <w:p w:rsidR="00AA3C53" w:rsidRDefault="00AA3C53" w:rsidP="00AA3C53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AA3C53" w:rsidRPr="004C2F3B" w:rsidRDefault="00AA3C53" w:rsidP="00AA3C53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AA3C53" w:rsidRPr="004C2F3B" w:rsidRDefault="00AA3C53" w:rsidP="00AA3C53">
      <w:pPr>
        <w:pStyle w:val="Naslov"/>
        <w:jc w:val="right"/>
        <w:rPr>
          <w:rFonts w:cs="Arial"/>
        </w:rPr>
      </w:pPr>
    </w:p>
    <w:p w:rsidR="00AA3C53" w:rsidRDefault="00AA3C53" w:rsidP="00AA3C53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AA3C53" w:rsidRPr="00D236C4" w:rsidRDefault="00AA3C53" w:rsidP="00AA3C53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>IZJAVA PONUDNIKA</w:t>
      </w:r>
    </w:p>
    <w:p w:rsidR="00AA3C53" w:rsidRDefault="00AA3C53" w:rsidP="00AA3C53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AA3C53" w:rsidRPr="00AD7386" w:rsidRDefault="00AA3C53" w:rsidP="00AA3C53">
      <w:pPr>
        <w:spacing w:after="0"/>
        <w:rPr>
          <w:rFonts w:cs="Arial"/>
          <w:szCs w:val="20"/>
        </w:rPr>
      </w:pPr>
      <w:r>
        <w:rPr>
          <w:rFonts w:cs="Arial"/>
          <w:szCs w:val="20"/>
        </w:rPr>
        <w:t xml:space="preserve">Pod materialno in kazensko odgovornostjo izjavljamo, </w:t>
      </w:r>
      <w:r w:rsidRPr="00D236C4">
        <w:t xml:space="preserve">da </w:t>
      </w:r>
      <w:r>
        <w:t>snov katero ponujamo izpolnjuje vse zahteve</w:t>
      </w:r>
      <w:r w:rsidRPr="009E0D22">
        <w:t xml:space="preserve"> glede kvalitete zunanjega vira ogljika</w:t>
      </w:r>
      <w:r>
        <w:t>.</w:t>
      </w:r>
      <w:r w:rsidRPr="004C2F3B">
        <w:rPr>
          <w:rFonts w:cs="Arial"/>
          <w:b/>
          <w:bCs/>
        </w:rPr>
        <w:tab/>
      </w:r>
      <w:r w:rsidRPr="004C2F3B">
        <w:rPr>
          <w:rFonts w:cs="Arial"/>
          <w:b/>
          <w:bCs/>
        </w:rPr>
        <w:tab/>
      </w:r>
      <w:r w:rsidRPr="004C2F3B">
        <w:rPr>
          <w:rFonts w:cs="Arial"/>
          <w:b/>
          <w:bCs/>
        </w:rPr>
        <w:tab/>
      </w:r>
      <w:r w:rsidRPr="004C2F3B">
        <w:rPr>
          <w:rFonts w:cs="Arial"/>
          <w:b/>
          <w:bCs/>
        </w:rPr>
        <w:tab/>
      </w:r>
      <w:r w:rsidRPr="004C2F3B">
        <w:rPr>
          <w:rFonts w:cs="Arial"/>
          <w:b/>
          <w:bCs/>
        </w:rPr>
        <w:tab/>
      </w:r>
      <w:r w:rsidRPr="004C2F3B">
        <w:rPr>
          <w:rFonts w:cs="Arial"/>
          <w:b/>
          <w:bCs/>
        </w:rPr>
        <w:tab/>
        <w:t xml:space="preserve">     </w:t>
      </w:r>
    </w:p>
    <w:p w:rsidR="00AA3C53" w:rsidRDefault="00AA3C53" w:rsidP="00AA3C53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AA3C53" w:rsidRPr="00AD7386" w:rsidRDefault="00AA3C53" w:rsidP="00AA3C53">
      <w:pPr>
        <w:tabs>
          <w:tab w:val="left" w:pos="3686"/>
        </w:tabs>
        <w:spacing w:after="0"/>
        <w:rPr>
          <w:rFonts w:cs="Arial"/>
          <w:b/>
          <w:bCs/>
          <w:u w:val="single"/>
        </w:rPr>
      </w:pPr>
      <w:r>
        <w:rPr>
          <w:u w:val="single"/>
        </w:rPr>
        <w:t>Z</w:t>
      </w:r>
      <w:r w:rsidRPr="00AD7386">
        <w:rPr>
          <w:u w:val="single"/>
        </w:rPr>
        <w:t>ahteve glede kvalitete zunanjega vira ogljika</w:t>
      </w:r>
      <w:r w:rsidRPr="00AD7386">
        <w:rPr>
          <w:rFonts w:cs="Arial"/>
          <w:b/>
          <w:bCs/>
          <w:u w:val="single"/>
        </w:rPr>
        <w:t>: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>Snov je definirana kot produkt z veljavnim varnostnim listom in analiznim listom.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 xml:space="preserve">Snov je deklarirana za uporabo v procesu čiščenja odpadnih vod, za dodajanje v proces </w:t>
      </w:r>
      <w:proofErr w:type="spellStart"/>
      <w:r>
        <w:t>denitrifikacije</w:t>
      </w:r>
      <w:proofErr w:type="spellEnd"/>
      <w:r>
        <w:t>, kot zunanji vir ogljika.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 xml:space="preserve">Sestava snovi je mešanica alkoholov sladkorja in proteinov, ki so lahko dostopni kot hrana za </w:t>
      </w:r>
      <w:proofErr w:type="spellStart"/>
      <w:r>
        <w:t>denitrifikacijske</w:t>
      </w:r>
      <w:proofErr w:type="spellEnd"/>
      <w:r>
        <w:t xml:space="preserve"> mikroorganizme.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>Snov je popolnoma biorazgradljiva.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>Snov ni strupena, gorljiva ali nevarna (v skladu z Uredbo GHS).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>Snov je uporabna ne glede na letni čas.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>Snov ima takšne lastnosti, da je možno njeno pretakanja do -15</w:t>
      </w:r>
      <w:r>
        <w:rPr>
          <w:rFonts w:cs="Arial"/>
        </w:rPr>
        <w:t>°</w:t>
      </w:r>
      <w:r>
        <w:t>C.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>Snov ne zahteva posebnih sistemov skladiščenja in je primerna za skladiščenje  v 15 m</w:t>
      </w:r>
      <w:r w:rsidRPr="006354E6">
        <w:rPr>
          <w:vertAlign w:val="superscript"/>
        </w:rPr>
        <w:t>3</w:t>
      </w:r>
      <w:r>
        <w:t xml:space="preserve"> velikem PE-HD rezervoarju.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>Snov zagotavlja, da se ji ne spremenijo lastnosti pri skladiščenju za obdobje najmanj 6 mesecev.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>Za snov ni potrebno zagotavljati ADR, RID ali IMDF prevoza.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 xml:space="preserve">Pretakanje snovi se izvaja preko priključka EURO TIP </w:t>
      </w:r>
      <w:r>
        <w:rPr>
          <w:rFonts w:cs="Arial"/>
        </w:rPr>
        <w:t>Φ</w:t>
      </w:r>
      <w:r>
        <w:t xml:space="preserve"> 80 mm, moški.</w:t>
      </w:r>
    </w:p>
    <w:p w:rsidR="00AA3C53" w:rsidRDefault="00AA3C53" w:rsidP="00AA3C53">
      <w:pPr>
        <w:pStyle w:val="Odstavekseznama"/>
        <w:numPr>
          <w:ilvl w:val="0"/>
          <w:numId w:val="3"/>
        </w:numPr>
        <w:spacing w:after="0"/>
      </w:pPr>
      <w:r>
        <w:t>Fizikalne in kemijske lastnosti, ki jih izpolnjuje snov:</w:t>
      </w:r>
    </w:p>
    <w:p w:rsidR="00AA3C53" w:rsidRDefault="00AA3C53" w:rsidP="00AA3C53">
      <w:pPr>
        <w:pStyle w:val="Odstavekseznama"/>
        <w:numPr>
          <w:ilvl w:val="1"/>
          <w:numId w:val="3"/>
        </w:numPr>
        <w:spacing w:after="0"/>
      </w:pPr>
      <w:r>
        <w:t>Gostota največ do 1.300 kg/m</w:t>
      </w:r>
      <w:r w:rsidRPr="006354E6">
        <w:rPr>
          <w:vertAlign w:val="superscript"/>
        </w:rPr>
        <w:t>3</w:t>
      </w:r>
      <w:r>
        <w:t>;</w:t>
      </w:r>
    </w:p>
    <w:p w:rsidR="00AA3C53" w:rsidRDefault="00AA3C53" w:rsidP="00AA3C53">
      <w:pPr>
        <w:pStyle w:val="Odstavekseznama"/>
        <w:numPr>
          <w:ilvl w:val="1"/>
          <w:numId w:val="3"/>
        </w:numPr>
        <w:spacing w:after="0"/>
      </w:pPr>
      <w:r>
        <w:t>Viskoznost, ki dovoljuje črpanje do 0</w:t>
      </w:r>
      <w:r>
        <w:rPr>
          <w:rFonts w:cs="Arial"/>
        </w:rPr>
        <w:t>°</w:t>
      </w:r>
      <w:r>
        <w:t>C;</w:t>
      </w:r>
    </w:p>
    <w:p w:rsidR="00AA3C53" w:rsidRPr="00B1544E" w:rsidRDefault="00AA3C53" w:rsidP="00AA3C53">
      <w:pPr>
        <w:pStyle w:val="Odstavekseznama"/>
        <w:numPr>
          <w:ilvl w:val="1"/>
          <w:numId w:val="3"/>
        </w:numPr>
        <w:spacing w:after="0"/>
      </w:pPr>
      <w:r>
        <w:t xml:space="preserve">pH vrednost </w:t>
      </w:r>
      <w:r w:rsidRPr="00B1544E">
        <w:t>od 6,</w:t>
      </w:r>
      <w:r>
        <w:t>0</w:t>
      </w:r>
      <w:r w:rsidRPr="00B1544E">
        <w:t xml:space="preserve"> do 9,0;</w:t>
      </w:r>
    </w:p>
    <w:p w:rsidR="00AA3C53" w:rsidRPr="00B1544E" w:rsidRDefault="00AA3C53" w:rsidP="00AA3C53">
      <w:pPr>
        <w:pStyle w:val="Odstavekseznama"/>
        <w:numPr>
          <w:ilvl w:val="1"/>
          <w:numId w:val="3"/>
        </w:numPr>
        <w:spacing w:after="0"/>
      </w:pPr>
      <w:r w:rsidRPr="00B1544E">
        <w:t>Vrednost KPK najmanj 1.000 g O</w:t>
      </w:r>
      <w:r w:rsidRPr="00B1544E">
        <w:rPr>
          <w:vertAlign w:val="subscript"/>
        </w:rPr>
        <w:t>2</w:t>
      </w:r>
      <w:r w:rsidRPr="00B1544E">
        <w:t>/L;</w:t>
      </w:r>
    </w:p>
    <w:p w:rsidR="00AA3C53" w:rsidRPr="00B1544E" w:rsidRDefault="00AA3C53" w:rsidP="00AA3C53">
      <w:pPr>
        <w:pStyle w:val="Odstavekseznama"/>
        <w:numPr>
          <w:ilvl w:val="1"/>
          <w:numId w:val="3"/>
        </w:numPr>
        <w:spacing w:after="0"/>
      </w:pPr>
      <w:r w:rsidRPr="00B1544E">
        <w:t>Baker &lt; 1,0 mg/L;</w:t>
      </w:r>
    </w:p>
    <w:p w:rsidR="00AA3C53" w:rsidRDefault="00AA3C53" w:rsidP="00AA3C53">
      <w:pPr>
        <w:pStyle w:val="Odstavekseznama"/>
        <w:numPr>
          <w:ilvl w:val="1"/>
          <w:numId w:val="3"/>
        </w:numPr>
        <w:spacing w:after="0"/>
      </w:pPr>
      <w:r>
        <w:t>Cink &lt; 2,5 mg/L;</w:t>
      </w:r>
    </w:p>
    <w:p w:rsidR="00AA3C53" w:rsidRDefault="00AA3C53" w:rsidP="00AA3C53">
      <w:pPr>
        <w:pStyle w:val="Odstavekseznama"/>
        <w:numPr>
          <w:ilvl w:val="1"/>
          <w:numId w:val="3"/>
        </w:numPr>
        <w:spacing w:after="0"/>
      </w:pPr>
      <w:r>
        <w:t>Kadmij &lt; 0,05 mg/L;</w:t>
      </w:r>
    </w:p>
    <w:p w:rsidR="00AA3C53" w:rsidRDefault="00AA3C53" w:rsidP="00AA3C53">
      <w:pPr>
        <w:pStyle w:val="Odstavekseznama"/>
        <w:numPr>
          <w:ilvl w:val="1"/>
          <w:numId w:val="3"/>
        </w:numPr>
        <w:spacing w:after="0"/>
      </w:pPr>
      <w:r>
        <w:t>Nikelj &lt; 2,5 mg/L;</w:t>
      </w:r>
    </w:p>
    <w:p w:rsidR="00AA3C53" w:rsidRDefault="00AA3C53" w:rsidP="00AA3C53">
      <w:pPr>
        <w:pStyle w:val="Odstavekseznama"/>
        <w:numPr>
          <w:ilvl w:val="1"/>
          <w:numId w:val="3"/>
        </w:numPr>
        <w:spacing w:after="0"/>
      </w:pPr>
      <w:r>
        <w:t>Arzen &lt; 0,1 mg/L;</w:t>
      </w:r>
    </w:p>
    <w:p w:rsidR="00AA3C53" w:rsidRDefault="00AA3C53" w:rsidP="00AA3C53">
      <w:pPr>
        <w:pStyle w:val="Odstavekseznama"/>
        <w:numPr>
          <w:ilvl w:val="1"/>
          <w:numId w:val="3"/>
        </w:numPr>
        <w:spacing w:after="0"/>
      </w:pPr>
      <w:r>
        <w:t>Živo srebro &lt; 0,02 mg/L;</w:t>
      </w:r>
    </w:p>
    <w:p w:rsidR="00AA3C53" w:rsidRDefault="00AA3C53" w:rsidP="00AA3C53">
      <w:pPr>
        <w:pStyle w:val="Odstavekseznama"/>
        <w:numPr>
          <w:ilvl w:val="1"/>
          <w:numId w:val="3"/>
        </w:numPr>
        <w:spacing w:after="0"/>
      </w:pPr>
      <w:r>
        <w:t>Svinec &lt; 1,0 mg/L;</w:t>
      </w:r>
    </w:p>
    <w:p w:rsidR="00AA3C53" w:rsidRDefault="00AA3C53" w:rsidP="00AA3C53">
      <w:pPr>
        <w:pStyle w:val="Odstavekseznama"/>
        <w:numPr>
          <w:ilvl w:val="1"/>
          <w:numId w:val="3"/>
        </w:numPr>
        <w:spacing w:after="0"/>
      </w:pPr>
      <w:r>
        <w:t>Krom &lt; 1,5 mg/L;</w:t>
      </w:r>
    </w:p>
    <w:p w:rsidR="00AA3C53" w:rsidRDefault="00AA3C53" w:rsidP="00AA3C53">
      <w:pPr>
        <w:pStyle w:val="Odstavekseznama"/>
        <w:numPr>
          <w:ilvl w:val="1"/>
          <w:numId w:val="3"/>
        </w:numPr>
        <w:spacing w:after="0"/>
      </w:pPr>
      <w:r>
        <w:t>AOX &lt; 0,5 mg/L;</w:t>
      </w:r>
    </w:p>
    <w:p w:rsidR="00AA3C53" w:rsidRPr="00D236C4" w:rsidRDefault="00AA3C53" w:rsidP="00AA3C53">
      <w:pPr>
        <w:pStyle w:val="Odstavekseznama"/>
        <w:numPr>
          <w:ilvl w:val="1"/>
          <w:numId w:val="3"/>
        </w:numPr>
        <w:spacing w:after="0"/>
      </w:pPr>
      <w:r>
        <w:t>EOX &lt; 0,1 mg/L.</w:t>
      </w:r>
    </w:p>
    <w:p w:rsidR="00AA3C53" w:rsidRDefault="00AA3C53" w:rsidP="00AA3C53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AA3C53" w:rsidRDefault="00AA3C53" w:rsidP="00AA3C53">
      <w:pPr>
        <w:pStyle w:val="Telobesedila"/>
        <w:spacing w:after="0"/>
        <w:jc w:val="both"/>
        <w:rPr>
          <w:rFonts w:cs="Arial"/>
          <w:szCs w:val="22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je »Dobava zunanjega vira ogljika«.</w:t>
      </w:r>
      <w:r>
        <w:rPr>
          <w:rFonts w:cs="Arial"/>
          <w:szCs w:val="22"/>
        </w:rPr>
        <w:t xml:space="preserve"> </w:t>
      </w:r>
    </w:p>
    <w:p w:rsidR="00AA3C53" w:rsidRPr="003E1107" w:rsidRDefault="00AA3C53" w:rsidP="00AA3C53">
      <w:pPr>
        <w:pStyle w:val="Telobesedila"/>
        <w:spacing w:after="0"/>
        <w:jc w:val="both"/>
        <w:rPr>
          <w:rFonts w:ascii="Arial" w:hAnsi="Arial" w:cs="Arial"/>
          <w:b w:val="0"/>
        </w:rPr>
      </w:pPr>
    </w:p>
    <w:p w:rsidR="00AA3C53" w:rsidRDefault="00AA3C53" w:rsidP="00AA3C53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AA3C53" w:rsidRDefault="00AA3C53" w:rsidP="00AA3C53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AA3C53" w:rsidRPr="00B55380" w:rsidRDefault="00AA3C53" w:rsidP="00AA3C5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A3C53" w:rsidRDefault="00AA3C53" w:rsidP="00AA3C5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A3C53" w:rsidRDefault="00AA3C53" w:rsidP="00AA3C5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A3C53" w:rsidRDefault="00AA3C53" w:rsidP="00AA3C5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A3C53" w:rsidRPr="004C2F3B" w:rsidRDefault="00AA3C53" w:rsidP="00AA3C53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6D614B" w:rsidRPr="00AA3C53" w:rsidRDefault="006D614B" w:rsidP="00AA3C53">
      <w:bookmarkStart w:id="0" w:name="_GoBack"/>
      <w:bookmarkEnd w:id="0"/>
    </w:p>
    <w:sectPr w:rsidR="006D614B" w:rsidRPr="00AA3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EFA43A2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7A"/>
    <w:rsid w:val="0063217A"/>
    <w:rsid w:val="006D614B"/>
    <w:rsid w:val="00A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66225-4967-46A4-AA49-12E14C6D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3217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63217A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63217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63217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3217A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3217A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3217A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3217A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3217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3217A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3217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3217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3217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3217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63217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3217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3217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3217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3217A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63217A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6321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3217A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6321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63217A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AA3C5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A3C5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2021-04-22T05:56:00Z</dcterms:created>
  <dcterms:modified xsi:type="dcterms:W3CDTF">2021-04-22T05:56:00Z</dcterms:modified>
</cp:coreProperties>
</file>